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079A0" w14:textId="77777777" w:rsidR="00B63B33" w:rsidRPr="001C5E70" w:rsidRDefault="001C5E70">
      <w:pPr>
        <w:spacing w:after="0"/>
        <w:ind w:firstLine="709"/>
        <w:jc w:val="center"/>
        <w:rPr>
          <w:b/>
        </w:rPr>
      </w:pPr>
      <w:r w:rsidRPr="001C5E70">
        <w:rPr>
          <w:b/>
        </w:rPr>
        <w:t>Ганжула Юлия Леонидовнаның 8D10102 – «Медицина» мамандығы бойынша философия докторы (PhD) дəрежесін алуға ұсынылған «Ішек микробиомасын және оның адамның қартаюындағы иммундық реттеуші рөлін зерттеу» тақырыбындағы диссертациялық жұмысының</w:t>
      </w:r>
    </w:p>
    <w:p w14:paraId="7B3079A1" w14:textId="77777777" w:rsidR="00B63B33" w:rsidRPr="001C5E70" w:rsidRDefault="001C5E70">
      <w:pPr>
        <w:spacing w:after="0"/>
        <w:jc w:val="center"/>
        <w:rPr>
          <w:b/>
        </w:rPr>
      </w:pPr>
      <w:r w:rsidRPr="001C5E70">
        <w:rPr>
          <w:b/>
        </w:rPr>
        <w:t>АННОТАЦИЯСЫ</w:t>
      </w:r>
    </w:p>
    <w:p w14:paraId="7B3079A2" w14:textId="77777777" w:rsidR="00B63B33" w:rsidRPr="001C5E70" w:rsidRDefault="00B63B33">
      <w:pPr>
        <w:spacing w:after="0"/>
        <w:jc w:val="center"/>
        <w:rPr>
          <w:b/>
        </w:rPr>
      </w:pPr>
    </w:p>
    <w:p w14:paraId="7B3079A3" w14:textId="77777777" w:rsidR="00B63B33" w:rsidRPr="001C5E70" w:rsidRDefault="001C5E70">
      <w:pPr>
        <w:spacing w:after="0"/>
        <w:ind w:firstLine="708"/>
        <w:rPr>
          <w:b/>
        </w:rPr>
      </w:pPr>
      <w:r w:rsidRPr="001C5E70">
        <w:rPr>
          <w:b/>
        </w:rPr>
        <w:t>Зерттеу тақырыбының өзектілігі:</w:t>
      </w:r>
    </w:p>
    <w:p w14:paraId="7B3079A4" w14:textId="77777777" w:rsidR="00B63B33" w:rsidRPr="001C5E70" w:rsidRDefault="001C5E70">
      <w:pPr>
        <w:spacing w:after="0"/>
        <w:ind w:firstLine="708"/>
        <w:jc w:val="both"/>
      </w:pPr>
      <w:r w:rsidRPr="001C5E70">
        <w:t>Дені сау қариялар, ұзақ өмір сүретін адамдар, салыст</w:t>
      </w:r>
      <w:bookmarkStart w:id="0" w:name="_GoBack"/>
      <w:bookmarkEnd w:id="0"/>
      <w:r w:rsidRPr="001C5E70">
        <w:t>ырмалы түрде төмен аурушаңдық деңгейімен және денсаулық ұзақтығының артуымен сипатталатын табысты үлгі болып табылады.</w:t>
      </w:r>
    </w:p>
    <w:p w14:paraId="7B3079A5" w14:textId="77777777" w:rsidR="00B63B33" w:rsidRPr="001C5E70" w:rsidRDefault="001C5E70">
      <w:pPr>
        <w:spacing w:after="0"/>
        <w:ind w:firstLine="708"/>
        <w:jc w:val="both"/>
      </w:pPr>
      <w:r w:rsidRPr="001C5E70">
        <w:t>Адам денсаулығының әртүрлі аспектілерімен ішек микроб</w:t>
      </w:r>
      <w:r w:rsidRPr="001C5E70">
        <w:t>иотасының жағдайы арасында маңызды байланыс бар. Ішек флорасының алуан түрлілігі мен қартаю процесінің өзара байланысы жас топтары арасында бактериялардың әртүрлі мөлшерімен көрініс табады. Адам ішегінің микробиотасының құрылымы мен құрамы ұзақ мерзімді ір</w:t>
      </w:r>
      <w:r w:rsidRPr="001C5E70">
        <w:t>іктеу нәтижесінде қалыптасып, ол микроорганизмдерге де, иесінің ағзасына да ықпал етеді [Xu C. et al., 2019; Bosco N. et al., 2021].</w:t>
      </w:r>
    </w:p>
    <w:p w14:paraId="7B3079A6" w14:textId="77777777" w:rsidR="00B63B33" w:rsidRPr="001C5E70" w:rsidRDefault="001C5E70">
      <w:pPr>
        <w:spacing w:after="0"/>
        <w:ind w:firstLine="708"/>
        <w:jc w:val="both"/>
      </w:pPr>
      <w:r w:rsidRPr="001C5E70">
        <w:t>Ағзадағы иммундық жүйе жасушаларының шамамен 80%-ы ішек шырышты қабығында орналасқан, соның ішінде шамамен 25%-ын иммунолог</w:t>
      </w:r>
      <w:r w:rsidRPr="001C5E70">
        <w:t xml:space="preserve">иялық белсенді тіндер мен жасушалар құрайды. Ішек шырышты қабығы макроағзаның маңызды құрамдас бөлігі болып, оның иммундық жүйесінің негізін қалайды. Ішекті адамның ең ірі иммундық мүшесі ретінде қарастыруға болады, онда микробиота жергілікті және жүйелік </w:t>
      </w:r>
      <w:r w:rsidRPr="001C5E70">
        <w:t>иммунитетті қалыптастыруда шешуші рөл атқарады [Congmin Xu et al., 2019].</w:t>
      </w:r>
    </w:p>
    <w:p w14:paraId="7B3079A7" w14:textId="77777777" w:rsidR="00B63B33" w:rsidRPr="001C5E70" w:rsidRDefault="001C5E70">
      <w:pPr>
        <w:spacing w:after="0"/>
        <w:ind w:firstLine="708"/>
        <w:jc w:val="both"/>
      </w:pPr>
      <w:r w:rsidRPr="001C5E70">
        <w:t xml:space="preserve">Қартаю процесінде ішек микробиомының өзгерістері елеулі рөл атқарады, оған қарт адамдардың тамақтану ерекшеліктері, генетикалық бейімділігі және өмір салты ықпал етеді. Осы тұрғыдан </w:t>
      </w:r>
      <w:r w:rsidRPr="001C5E70">
        <w:t>алғанда, ұзақ өмір сүретіндердің ішек микробиомын зерттеу ішек микрофлорасының ұзақ өмір сүру барысында бейімделуін, сондай-ақ ағзаның иммунологиялық гомеостазын қалайша сақтайтынын түсінуге мүмкіндік береді. Бұл өз кезегінде сапалы қартаюға ықпал етіп, ағ</w:t>
      </w:r>
      <w:r w:rsidRPr="001C5E70">
        <w:t>заның өміршеңдігін арттырады. Сондықтан ұзақ өмір сүру процесінде шешуші рөл атқаратын ішек микробиомының құрылымын анықтау аса маңызды. Қартаю контекстінде микробиота құрамындағы ықтимал өзгерістер мен оның тамақтанумен өзара әрекеттестігі ерекше қызығушы</w:t>
      </w:r>
      <w:r w:rsidRPr="001C5E70">
        <w:t>лық тудырады.</w:t>
      </w:r>
    </w:p>
    <w:p w14:paraId="7B3079A8" w14:textId="77777777" w:rsidR="00B63B33" w:rsidRPr="001C5E70" w:rsidRDefault="00B63B33">
      <w:pPr>
        <w:spacing w:after="0"/>
        <w:ind w:firstLine="708"/>
      </w:pPr>
    </w:p>
    <w:p w14:paraId="7B3079A9" w14:textId="77777777" w:rsidR="00B63B33" w:rsidRPr="001C5E70" w:rsidRDefault="001C5E70">
      <w:pPr>
        <w:spacing w:after="0"/>
        <w:ind w:firstLine="708"/>
        <w:rPr>
          <w:b/>
        </w:rPr>
      </w:pPr>
      <w:r w:rsidRPr="001C5E70">
        <w:rPr>
          <w:b/>
        </w:rPr>
        <w:t>Зерттеудің мақсаты:</w:t>
      </w:r>
    </w:p>
    <w:p w14:paraId="7B3079AA" w14:textId="77777777" w:rsidR="00B63B33" w:rsidRPr="001C5E70" w:rsidRDefault="001C5E70">
      <w:pPr>
        <w:spacing w:after="0"/>
        <w:ind w:firstLine="708"/>
        <w:jc w:val="both"/>
      </w:pPr>
      <w:r w:rsidRPr="001C5E70">
        <w:t>Ішек микробиотасының құрылымдық-функционалдық сипаттамаларын, иммундық параметрлерін және олардың қартаю процесінде жүретін инволютивті және функционалдық өзгерістерге ықпалын зерттеу, қариялардың жағдайын бақылау алгорит</w:t>
      </w:r>
      <w:r w:rsidRPr="001C5E70">
        <w:t>мін әзірлеу.</w:t>
      </w:r>
    </w:p>
    <w:p w14:paraId="7B3079AB" w14:textId="77777777" w:rsidR="00B63B33" w:rsidRPr="001C5E70" w:rsidRDefault="00B63B33">
      <w:pPr>
        <w:spacing w:after="0"/>
        <w:ind w:firstLine="708"/>
        <w:jc w:val="both"/>
      </w:pPr>
    </w:p>
    <w:p w14:paraId="7B3079AC" w14:textId="77777777" w:rsidR="00B63B33" w:rsidRPr="001C5E70" w:rsidRDefault="001C5E70">
      <w:pPr>
        <w:spacing w:after="0"/>
        <w:ind w:firstLine="708"/>
        <w:rPr>
          <w:b/>
        </w:rPr>
      </w:pPr>
      <w:r w:rsidRPr="001C5E70">
        <w:rPr>
          <w:b/>
        </w:rPr>
        <w:t>Зерттеудің міндеттері:</w:t>
      </w:r>
    </w:p>
    <w:p w14:paraId="7B3079AD" w14:textId="77777777" w:rsidR="00B63B33" w:rsidRPr="001C5E70" w:rsidRDefault="001C5E70">
      <w:pPr>
        <w:spacing w:after="0"/>
        <w:jc w:val="both"/>
      </w:pPr>
      <w:r w:rsidRPr="001C5E70">
        <w:lastRenderedPageBreak/>
        <w:t>1) Қарт және кәрі жастағы адамдарға кешенді клинико-зертханалық және гериатриялық тексеру жүргізу.</w:t>
      </w:r>
    </w:p>
    <w:p w14:paraId="7B3079AE" w14:textId="77777777" w:rsidR="00B63B33" w:rsidRPr="001C5E70" w:rsidRDefault="001C5E70">
      <w:pPr>
        <w:spacing w:after="0"/>
        <w:jc w:val="both"/>
      </w:pPr>
      <w:r w:rsidRPr="001C5E70">
        <w:t>2) Екі жас санатындағы респонденттердің ішек микробиомының құрамын, олардың тамақтану</w:t>
      </w:r>
    </w:p>
    <w:p w14:paraId="7B3079AF" w14:textId="77777777" w:rsidR="00B63B33" w:rsidRPr="001C5E70" w:rsidRDefault="001C5E70">
      <w:pPr>
        <w:spacing w:after="0"/>
        <w:jc w:val="both"/>
      </w:pPr>
      <w:r w:rsidRPr="001C5E70">
        <w:t>3) Зерттеу қатысушыларының жүйелік</w:t>
      </w:r>
      <w:r w:rsidRPr="001C5E70">
        <w:t xml:space="preserve"> және жергілікті иммундық мәртебесінің параметрлерін бағалау.</w:t>
      </w:r>
    </w:p>
    <w:p w14:paraId="7B3079B0" w14:textId="77777777" w:rsidR="00B63B33" w:rsidRPr="001C5E70" w:rsidRDefault="001C5E70">
      <w:pPr>
        <w:spacing w:after="0"/>
        <w:jc w:val="both"/>
      </w:pPr>
      <w:r w:rsidRPr="001C5E70">
        <w:t>4) Ішек микробиомының құрылымдық-функционалдық сипаттамалары мен иммундық көрсеткіштердің арасындағы байланыстарды және олардың гериатриялық әрі зертханалық параметрлерге әсерін зерттеу.</w:t>
      </w:r>
    </w:p>
    <w:p w14:paraId="7B3079B1" w14:textId="77777777" w:rsidR="00B63B33" w:rsidRPr="001C5E70" w:rsidRDefault="001C5E70">
      <w:pPr>
        <w:spacing w:after="0"/>
        <w:jc w:val="both"/>
      </w:pPr>
      <w:r w:rsidRPr="001C5E70">
        <w:t>5) Қарт</w:t>
      </w:r>
      <w:r w:rsidRPr="001C5E70">
        <w:t xml:space="preserve"> науқастарға клиникалық тәжірибеде бақылау алгоритмін әзірлеу және белсенді ұзақ өмір сүруді қолдауға бағытталған практикалық ұсыныстар жасау.</w:t>
      </w:r>
    </w:p>
    <w:p w14:paraId="7B3079B2" w14:textId="77777777" w:rsidR="00B63B33" w:rsidRPr="001C5E70" w:rsidRDefault="00B63B33">
      <w:pPr>
        <w:spacing w:after="0"/>
        <w:jc w:val="both"/>
      </w:pPr>
    </w:p>
    <w:p w14:paraId="7B3079B3" w14:textId="77777777" w:rsidR="00B63B33" w:rsidRPr="001C5E70" w:rsidRDefault="00B63B33">
      <w:pPr>
        <w:spacing w:after="0"/>
        <w:jc w:val="both"/>
      </w:pPr>
    </w:p>
    <w:p w14:paraId="7B3079B4" w14:textId="77777777" w:rsidR="00B63B33" w:rsidRPr="001C5E70" w:rsidRDefault="001C5E70">
      <w:pPr>
        <w:spacing w:after="0"/>
        <w:ind w:firstLine="708"/>
        <w:jc w:val="both"/>
        <w:rPr>
          <w:b/>
        </w:rPr>
      </w:pPr>
      <w:r w:rsidRPr="001C5E70">
        <w:rPr>
          <w:b/>
        </w:rPr>
        <w:t>Зерттеу дизайны:</w:t>
      </w:r>
    </w:p>
    <w:p w14:paraId="7B3079B5" w14:textId="77777777" w:rsidR="00B63B33" w:rsidRPr="001C5E70" w:rsidRDefault="001C5E70">
      <w:pPr>
        <w:spacing w:after="0"/>
        <w:jc w:val="both"/>
      </w:pPr>
      <w:r w:rsidRPr="001C5E70">
        <w:t>Кейс-бақылау түрін бақылау-аналитикалық зерттеу. Негізгі топ – ұзақ өмір сүретін (90 жастан жо</w:t>
      </w:r>
      <w:r w:rsidRPr="001C5E70">
        <w:t>ғары) – 46 адам, бақылау тобы – 60-80 жас аралығындағы респонденттер – 50 адам.</w:t>
      </w:r>
    </w:p>
    <w:p w14:paraId="7B3079B6" w14:textId="77777777" w:rsidR="00B63B33" w:rsidRPr="001C5E70" w:rsidRDefault="001C5E70">
      <w:pPr>
        <w:spacing w:after="0"/>
        <w:jc w:val="both"/>
      </w:pPr>
      <w:r w:rsidRPr="001C5E70">
        <w:t>Негізгі зерттеу тобына қосу критерийлері:</w:t>
      </w:r>
    </w:p>
    <w:p w14:paraId="7B3079B7" w14:textId="77777777" w:rsidR="00B63B33" w:rsidRPr="001C5E70" w:rsidRDefault="001C5E70">
      <w:pPr>
        <w:spacing w:after="0"/>
        <w:jc w:val="both"/>
      </w:pPr>
      <w:r w:rsidRPr="001C5E70">
        <w:t>- 90 жастан жоғары</w:t>
      </w:r>
    </w:p>
    <w:p w14:paraId="7B3079B8" w14:textId="77777777" w:rsidR="00B63B33" w:rsidRPr="001C5E70" w:rsidRDefault="001C5E70">
      <w:pPr>
        <w:spacing w:after="0"/>
        <w:jc w:val="both"/>
      </w:pPr>
      <w:r w:rsidRPr="001C5E70">
        <w:t>Бақылау зерттеу тобын қосу критерийлері:</w:t>
      </w:r>
    </w:p>
    <w:p w14:paraId="7B3079B9" w14:textId="77777777" w:rsidR="00B63B33" w:rsidRPr="001C5E70" w:rsidRDefault="001C5E70">
      <w:pPr>
        <w:spacing w:after="0"/>
        <w:jc w:val="both"/>
      </w:pPr>
      <w:r w:rsidRPr="001C5E70">
        <w:t>- 60 жастан 80 жасқа дейін</w:t>
      </w:r>
    </w:p>
    <w:p w14:paraId="7B3079BA" w14:textId="77777777" w:rsidR="00B63B33" w:rsidRPr="001C5E70" w:rsidRDefault="001C5E70">
      <w:pPr>
        <w:spacing w:after="0"/>
        <w:jc w:val="both"/>
      </w:pPr>
      <w:r w:rsidRPr="001C5E70">
        <w:t>Екі топ үшін де алып тастау критерийлері:</w:t>
      </w:r>
    </w:p>
    <w:p w14:paraId="7B3079BB" w14:textId="77777777" w:rsidR="00B63B33" w:rsidRPr="001C5E70" w:rsidRDefault="001C5E70">
      <w:pPr>
        <w:spacing w:after="0"/>
        <w:jc w:val="both"/>
      </w:pPr>
      <w:r w:rsidRPr="001C5E70">
        <w:t>- зерттеуге келісімнің болмауы</w:t>
      </w:r>
    </w:p>
    <w:p w14:paraId="7B3079BC" w14:textId="77777777" w:rsidR="00B63B33" w:rsidRPr="001C5E70" w:rsidRDefault="001C5E70">
      <w:pPr>
        <w:spacing w:after="0"/>
        <w:jc w:val="both"/>
      </w:pPr>
      <w:r w:rsidRPr="001C5E70">
        <w:t>- жедел инфекциялық, аутоиммунды, онкологиялық аурулардың болуы</w:t>
      </w:r>
    </w:p>
    <w:p w14:paraId="7B3079BD" w14:textId="77777777" w:rsidR="00B63B33" w:rsidRPr="001C5E70" w:rsidRDefault="001C5E70">
      <w:pPr>
        <w:spacing w:after="0"/>
        <w:jc w:val="both"/>
      </w:pPr>
      <w:r w:rsidRPr="001C5E70">
        <w:t>- зерттеу басталғанға дейін соңғы 3 айда бактерияға қарсы, цитостатикалық, гормондық препараттарды қабылдау</w:t>
      </w:r>
    </w:p>
    <w:p w14:paraId="7B3079BE" w14:textId="77777777" w:rsidR="00B63B33" w:rsidRPr="001C5E70" w:rsidRDefault="00B63B33">
      <w:pPr>
        <w:spacing w:after="0"/>
        <w:jc w:val="both"/>
      </w:pPr>
    </w:p>
    <w:p w14:paraId="7B3079BF" w14:textId="77777777" w:rsidR="00B63B33" w:rsidRPr="001C5E70" w:rsidRDefault="001C5E70">
      <w:pPr>
        <w:spacing w:after="0"/>
        <w:ind w:firstLine="708"/>
        <w:rPr>
          <w:b/>
        </w:rPr>
      </w:pPr>
      <w:r w:rsidRPr="001C5E70">
        <w:rPr>
          <w:b/>
        </w:rPr>
        <w:t>Зерттеу əдістері:</w:t>
      </w:r>
    </w:p>
    <w:p w14:paraId="7B3079C0" w14:textId="77777777" w:rsidR="00B63B33" w:rsidRPr="001C5E70" w:rsidRDefault="001C5E70">
      <w:pPr>
        <w:spacing w:after="0"/>
        <w:jc w:val="both"/>
      </w:pPr>
      <w:r w:rsidRPr="001C5E70">
        <w:t>1. Пациенттерді  кешенді тексеру (</w:t>
      </w:r>
      <w:r w:rsidRPr="001C5E70">
        <w:t>ЖҚА, ЖЗА, биохимиялық қан анализі, нәжісті иммунологиялық зерттеуі);</w:t>
      </w:r>
    </w:p>
    <w:p w14:paraId="7B3079C1" w14:textId="77777777" w:rsidR="00B63B33" w:rsidRPr="001C5E70" w:rsidRDefault="001C5E70">
      <w:pPr>
        <w:spacing w:after="0"/>
        <w:jc w:val="both"/>
      </w:pPr>
      <w:r w:rsidRPr="001C5E70">
        <w:t>2. Зерттеу қатысушыларына гериатриялық бағалау (FRAIL, SARC-F, IADL, Barthel шкалалары бойынша).</w:t>
      </w:r>
    </w:p>
    <w:p w14:paraId="7B3079C2" w14:textId="77777777" w:rsidR="00B63B33" w:rsidRPr="001C5E70" w:rsidRDefault="001C5E70">
      <w:pPr>
        <w:spacing w:after="0"/>
        <w:jc w:val="both"/>
      </w:pPr>
      <w:r w:rsidRPr="001C5E70">
        <w:t>3. Тамақтануды Food Frequency Questionnaire сауалнамасы арқылы бағалау.</w:t>
      </w:r>
    </w:p>
    <w:p w14:paraId="7B3079C3" w14:textId="77777777" w:rsidR="00B63B33" w:rsidRPr="001C5E70" w:rsidRDefault="001C5E70">
      <w:pPr>
        <w:spacing w:after="0"/>
        <w:jc w:val="both"/>
      </w:pPr>
      <w:r w:rsidRPr="001C5E70">
        <w:t>4. Иммундық мәртеб</w:t>
      </w:r>
      <w:r w:rsidRPr="001C5E70">
        <w:t>ені зерттеу</w:t>
      </w:r>
    </w:p>
    <w:p w14:paraId="7B3079C4" w14:textId="77777777" w:rsidR="00B63B33" w:rsidRPr="001C5E70" w:rsidRDefault="001C5E70">
      <w:pPr>
        <w:spacing w:after="0"/>
        <w:jc w:val="both"/>
      </w:pPr>
      <w:r w:rsidRPr="001C5E70">
        <w:t>5. Тоқ ішектің микробиомасын анықтау үшін нәжістің реттілігі</w:t>
      </w:r>
    </w:p>
    <w:p w14:paraId="7B3079C5" w14:textId="77777777" w:rsidR="00B63B33" w:rsidRPr="001C5E70" w:rsidRDefault="001C5E70">
      <w:pPr>
        <w:spacing w:after="0"/>
        <w:jc w:val="both"/>
      </w:pPr>
      <w:r w:rsidRPr="001C5E70">
        <w:t>6. Биоинформатикалық талдау</w:t>
      </w:r>
    </w:p>
    <w:p w14:paraId="7B3079C6" w14:textId="77777777" w:rsidR="00B63B33" w:rsidRPr="001C5E70" w:rsidRDefault="001C5E70">
      <w:pPr>
        <w:spacing w:after="0"/>
        <w:jc w:val="both"/>
      </w:pPr>
      <w:r w:rsidRPr="001C5E70">
        <w:t>7. Статистикалық (алынған мәліметтерді статистикалық өңдеу) талдау.</w:t>
      </w:r>
    </w:p>
    <w:p w14:paraId="7B3079C7" w14:textId="77777777" w:rsidR="00B63B33" w:rsidRPr="001C5E70" w:rsidRDefault="00B63B33">
      <w:pPr>
        <w:spacing w:after="0"/>
        <w:jc w:val="both"/>
      </w:pPr>
    </w:p>
    <w:p w14:paraId="7B3079C8" w14:textId="77777777" w:rsidR="00B63B33" w:rsidRPr="001C5E70" w:rsidRDefault="001C5E70">
      <w:pPr>
        <w:spacing w:after="0"/>
        <w:ind w:firstLine="708"/>
        <w:rPr>
          <w:b/>
        </w:rPr>
      </w:pPr>
      <w:r w:rsidRPr="001C5E70">
        <w:rPr>
          <w:b/>
        </w:rPr>
        <w:t>Ғылыми жаңалығы:</w:t>
      </w:r>
    </w:p>
    <w:p w14:paraId="7B3079C9" w14:textId="77777777" w:rsidR="00B63B33" w:rsidRPr="001C5E70" w:rsidRDefault="001C5E70">
      <w:pPr>
        <w:spacing w:after="0"/>
        <w:ind w:firstLine="708"/>
        <w:jc w:val="both"/>
      </w:pPr>
      <w:r w:rsidRPr="001C5E70">
        <w:t>Қазақстандағы қариялар мен ұзақ өмір сүретіндер популяциясында ішек м</w:t>
      </w:r>
      <w:r w:rsidRPr="001C5E70">
        <w:t>икробиомына алғашқы рет шотган-секвенирлеу арқылы кешенді талдау жүргізілді. Бұл микробиомдық құрам ерекшеліктерін, функционалдық метаболикалық жолдарды және жасқа байланысты айырмашылықтарды айқындауға мүмкіндік берді.</w:t>
      </w:r>
    </w:p>
    <w:p w14:paraId="7B3079CA" w14:textId="77777777" w:rsidR="00B63B33" w:rsidRPr="001C5E70" w:rsidRDefault="001C5E70">
      <w:pPr>
        <w:spacing w:after="0"/>
        <w:ind w:firstLine="708"/>
        <w:jc w:val="both"/>
      </w:pPr>
      <w:r w:rsidRPr="001C5E70">
        <w:lastRenderedPageBreak/>
        <w:t>Қазақстандық ұзақ өмір сүретіндердің</w:t>
      </w:r>
      <w:r w:rsidRPr="001C5E70">
        <w:t xml:space="preserve"> жергілікті және жүйелік иммундық жауап көрсеткіштерін қамтитын кешенді иммунологиялық бағалау алғаш рет жүргізілді.</w:t>
      </w:r>
    </w:p>
    <w:p w14:paraId="7B3079CB" w14:textId="77777777" w:rsidR="00B63B33" w:rsidRPr="001C5E70" w:rsidRDefault="001C5E70">
      <w:pPr>
        <w:spacing w:after="0"/>
        <w:ind w:firstLine="708"/>
        <w:jc w:val="both"/>
      </w:pPr>
      <w:r w:rsidRPr="001C5E70">
        <w:t>Қариялар мен ұзақ өмір сүретіндердің иммундық, нутритивтік, микробиотикалық және гериатриялық көрсеткіштері арасындағы өзара байланыстар ал</w:t>
      </w:r>
      <w:r w:rsidRPr="001C5E70">
        <w:t>ғаш рет сипатталып, қартаюдың интегративті биомаркерлері анықталды.</w:t>
      </w:r>
    </w:p>
    <w:p w14:paraId="7B3079CC" w14:textId="77777777" w:rsidR="00B63B33" w:rsidRPr="001C5E70" w:rsidRDefault="00B63B33">
      <w:pPr>
        <w:spacing w:after="0"/>
        <w:ind w:firstLine="708"/>
        <w:jc w:val="both"/>
      </w:pPr>
    </w:p>
    <w:p w14:paraId="7B3079CD" w14:textId="77777777" w:rsidR="00B63B33" w:rsidRPr="001C5E70" w:rsidRDefault="001C5E70">
      <w:pPr>
        <w:spacing w:after="0"/>
        <w:ind w:firstLine="708"/>
        <w:jc w:val="both"/>
        <w:rPr>
          <w:b/>
        </w:rPr>
      </w:pPr>
      <w:r w:rsidRPr="001C5E70">
        <w:rPr>
          <w:b/>
        </w:rPr>
        <w:t>Қорғауға ұсынылатын негізгі тұжырымдар:</w:t>
      </w:r>
    </w:p>
    <w:p w14:paraId="7B3079CE" w14:textId="77777777" w:rsidR="00B63B33" w:rsidRPr="001C5E70" w:rsidRDefault="001C5E70">
      <w:pPr>
        <w:spacing w:after="0"/>
        <w:jc w:val="both"/>
      </w:pPr>
      <w:r w:rsidRPr="001C5E70">
        <w:t>1. Гериатриялық бағалау ұзақ өмір сүретіндер тобында астения, саркопения, физикалық белсенділіктің төмендеуі және күтімге тәуелділіктің әртүрлі дең</w:t>
      </w:r>
      <w:r w:rsidRPr="001C5E70">
        <w:t>гейін анықтады. Лабораториялық көрсеткіштерде: гемоглобин, глюкоза, Д дәрумені және бүйрек қызметі бойынша топтар арасында айырмашылық табылды.</w:t>
      </w:r>
    </w:p>
    <w:p w14:paraId="7B3079CF" w14:textId="77777777" w:rsidR="00B63B33" w:rsidRPr="001C5E70" w:rsidRDefault="001C5E70">
      <w:pPr>
        <w:spacing w:after="0"/>
        <w:jc w:val="both"/>
      </w:pPr>
      <w:r w:rsidRPr="001C5E70">
        <w:t>2. Ұзақ өмір сүретіндердің ішек микробиотасы анағұрлым бай және алуан түрлі болып сипатталды. Құрамында шіру фло</w:t>
      </w:r>
      <w:r w:rsidRPr="001C5E70">
        <w:t>расы мен шартты-протективті туыстардың коиндукциясы байқалды.</w:t>
      </w:r>
    </w:p>
    <w:p w14:paraId="7B3079D0" w14:textId="77777777" w:rsidR="00B63B33" w:rsidRPr="001C5E70" w:rsidRDefault="001C5E70">
      <w:pPr>
        <w:spacing w:after="0"/>
        <w:jc w:val="both"/>
      </w:pPr>
      <w:r w:rsidRPr="001C5E70">
        <w:t>3. Созылмалы қабыну жағдайында ұзақ өмір сүретіндерде компенсаторлық сипаттағы қабынуға қарсы цитокиндер мен өсу факторларының белсенділігі артты.</w:t>
      </w:r>
    </w:p>
    <w:p w14:paraId="7B3079D1" w14:textId="77777777" w:rsidR="00B63B33" w:rsidRPr="001C5E70" w:rsidRDefault="001C5E70">
      <w:pPr>
        <w:spacing w:after="0"/>
        <w:jc w:val="both"/>
      </w:pPr>
      <w:r w:rsidRPr="001C5E70">
        <w:t>4. Микробиом, иммундық және клинико-зертханалық көрсеткіштердің арасындағы корреляциялық байланыстар олардың өзара тәуелділігін және метаболикалық, функционалдық жағдайға ықпалын көрсетті.</w:t>
      </w:r>
    </w:p>
    <w:p w14:paraId="7B3079D2" w14:textId="77777777" w:rsidR="00B63B33" w:rsidRPr="001C5E70" w:rsidRDefault="001C5E70">
      <w:pPr>
        <w:spacing w:after="0"/>
        <w:jc w:val="both"/>
      </w:pPr>
      <w:r w:rsidRPr="001C5E70">
        <w:t>5. Жасалған бақылау алгоритмі қариялардың жағдайын ерте диагностикалау мен тиімді қадағалауға мүмкіндік береді.</w:t>
      </w:r>
    </w:p>
    <w:p w14:paraId="7B3079D3" w14:textId="77777777" w:rsidR="00B63B33" w:rsidRPr="001C5E70" w:rsidRDefault="00B63B33">
      <w:pPr>
        <w:spacing w:after="0"/>
        <w:jc w:val="both"/>
      </w:pPr>
    </w:p>
    <w:p w14:paraId="7B3079D4" w14:textId="77777777" w:rsidR="00B63B33" w:rsidRPr="001C5E70" w:rsidRDefault="001C5E70">
      <w:pPr>
        <w:spacing w:after="0"/>
        <w:ind w:firstLine="708"/>
        <w:jc w:val="both"/>
        <w:rPr>
          <w:b/>
        </w:rPr>
      </w:pPr>
      <w:r w:rsidRPr="001C5E70">
        <w:rPr>
          <w:b/>
        </w:rPr>
        <w:t>Тəжірибелік маңыздылығы:</w:t>
      </w:r>
    </w:p>
    <w:p w14:paraId="7B3079D5" w14:textId="77777777" w:rsidR="00B63B33" w:rsidRPr="001C5E70" w:rsidRDefault="001C5E70">
      <w:pPr>
        <w:spacing w:after="0"/>
        <w:jc w:val="both"/>
      </w:pPr>
      <w:r w:rsidRPr="001C5E70">
        <w:t>1. Нәтижелер негізінде қарт адамдарды бағалау және мониторинг жүргізу алгоритмі жасалды. Ол микробиотикалық, иммундық,</w:t>
      </w:r>
      <w:r w:rsidRPr="001C5E70">
        <w:t xml:space="preserve"> метаболикалық және функционалдық көрсеткіштерді қамтиды және ерте диагностикаға жағдай жасайды.</w:t>
      </w:r>
    </w:p>
    <w:p w14:paraId="7B3079D6" w14:textId="77777777" w:rsidR="00B63B33" w:rsidRPr="001C5E70" w:rsidRDefault="001C5E70">
      <w:pPr>
        <w:spacing w:after="0"/>
        <w:jc w:val="both"/>
      </w:pPr>
      <w:r w:rsidRPr="001C5E70">
        <w:t>2. Ішек микробиотасы, иммундық параметрлер, метаболикалық маркерлер мен функционалдық жағдайды кешенді бағалау негізінде тәуекел тобына кіретін қарияларға дифф</w:t>
      </w:r>
      <w:r w:rsidRPr="001C5E70">
        <w:t>еренциалды бақылау ұсынылды.</w:t>
      </w:r>
    </w:p>
    <w:p w14:paraId="7B3079D7" w14:textId="77777777" w:rsidR="00B63B33" w:rsidRPr="001C5E70" w:rsidRDefault="001C5E70">
      <w:pPr>
        <w:spacing w:after="0"/>
        <w:jc w:val="both"/>
      </w:pPr>
      <w:r w:rsidRPr="001C5E70">
        <w:t>3. Микробиотикалық және иммундық сипаттамалар қартаю биомаркерлері ретінде пайдаланылуы мүмкін екені дәлелденді. Бұл нутритивтік түзету және микробиомды модуляциялайтын терапияны енгізуге негіз болады.</w:t>
      </w:r>
    </w:p>
    <w:p w14:paraId="7B3079D8" w14:textId="77777777" w:rsidR="00B63B33" w:rsidRPr="001C5E70" w:rsidRDefault="001C5E70">
      <w:pPr>
        <w:spacing w:after="0"/>
        <w:jc w:val="both"/>
      </w:pPr>
      <w:r w:rsidRPr="001C5E70">
        <w:t>4. «Халықтың салауатты қа</w:t>
      </w:r>
      <w:r w:rsidRPr="001C5E70">
        <w:t>ртаюындағы ПМСП-ның рөлі және қарт пациенттердің өмір сапасын арттыру» атты тәжірибелік ұсыныстар әзірленіп, отбасылық дәрігерлер мен геронтологтарды даярлау бағдарламасына енгізілді.</w:t>
      </w:r>
    </w:p>
    <w:p w14:paraId="7B3079D9" w14:textId="77777777" w:rsidR="00B63B33" w:rsidRPr="001C5E70" w:rsidRDefault="00B63B33">
      <w:pPr>
        <w:spacing w:after="0"/>
        <w:jc w:val="both"/>
      </w:pPr>
    </w:p>
    <w:p w14:paraId="7B3079DA" w14:textId="77777777" w:rsidR="00B63B33" w:rsidRPr="001C5E70" w:rsidRDefault="001C5E70">
      <w:pPr>
        <w:spacing w:after="0"/>
        <w:ind w:firstLine="708"/>
        <w:rPr>
          <w:b/>
        </w:rPr>
      </w:pPr>
      <w:r w:rsidRPr="001C5E70">
        <w:rPr>
          <w:b/>
        </w:rPr>
        <w:t>Зерттеуді жүргізудегі автордың үлесі:</w:t>
      </w:r>
    </w:p>
    <w:p w14:paraId="7B3079DB" w14:textId="77777777" w:rsidR="00B63B33" w:rsidRPr="001C5E70" w:rsidRDefault="001C5E70">
      <w:pPr>
        <w:spacing w:after="0"/>
        <w:ind w:firstLine="708"/>
        <w:jc w:val="both"/>
      </w:pPr>
      <w:r w:rsidRPr="001C5E70">
        <w:t>Зерттеу барысында кандидат зертте</w:t>
      </w:r>
      <w:r w:rsidRPr="001C5E70">
        <w:t xml:space="preserve">удің тақырыбын, мақсатын, міндеттерін тұжырымдауға қатысты, зерттеу әдістемесін әзірледі, респонденттерді жинады, диссертация тақырыбы бойынша әдебиеттерді өз </w:t>
      </w:r>
      <w:r w:rsidRPr="001C5E70">
        <w:lastRenderedPageBreak/>
        <w:t xml:space="preserve">бетінше іздеді, диссертацияның тарауларын жазды, жұмыстың нәтижелерін жинады және қорытындылады. </w:t>
      </w:r>
      <w:r w:rsidRPr="001C5E70">
        <w:t>Автор сонымен қатар клиникалық, зертханалық, функционалдық, иммунологиялық мәліметтерді түсіндірді. Автор зерттеу нәтижелерін дайындап, Қазақстан Республикасы Білім және ғылым министрлігінің Білім және ғылым саласындағы бақылау комитеті ұсынған журналдарда</w:t>
      </w:r>
      <w:r w:rsidRPr="001C5E70">
        <w:t xml:space="preserve"> және шетелдік басылымдарда жариялады, халықаралық ғылыми-тәжірибелік конференцияларда баяндамалар жасады. Диссертациялық жұмыстың нәтижелері №10 МКҚК практикасына енгізілді, оқу-әдістемелік құрал дайындалды.</w:t>
      </w:r>
    </w:p>
    <w:p w14:paraId="7B3079DC" w14:textId="77777777" w:rsidR="00B63B33" w:rsidRPr="001C5E70" w:rsidRDefault="00B63B33">
      <w:pPr>
        <w:spacing w:after="0"/>
        <w:ind w:firstLine="708"/>
        <w:jc w:val="both"/>
      </w:pPr>
    </w:p>
    <w:p w14:paraId="7B3079DD" w14:textId="77777777" w:rsidR="00B63B33" w:rsidRPr="001C5E70" w:rsidRDefault="001C5E70">
      <w:pPr>
        <w:spacing w:after="0"/>
        <w:ind w:firstLine="708"/>
        <w:rPr>
          <w:b/>
        </w:rPr>
      </w:pPr>
      <w:r w:rsidRPr="001C5E70">
        <w:rPr>
          <w:b/>
        </w:rPr>
        <w:t>Диссертация тақырыбы бойынша жарияланымдар:</w:t>
      </w:r>
    </w:p>
    <w:p w14:paraId="7B3079DE" w14:textId="77777777" w:rsidR="00B63B33" w:rsidRPr="001C5E70" w:rsidRDefault="001C5E70">
      <w:pPr>
        <w:spacing w:after="0"/>
        <w:ind w:firstLine="708"/>
        <w:jc w:val="both"/>
      </w:pPr>
      <w:r w:rsidRPr="001C5E70">
        <w:t>Ди</w:t>
      </w:r>
      <w:r w:rsidRPr="001C5E70">
        <w:t>ссертациялық зерттеу тақырыбы бойынша 8 ғылыми жұмыс жарияланды, оның ішінде Scopus (Q2) деректер базасы бойынша индекстелген журналда 1 жарияланым, оның ішінде Қазақстан Республикасы Ғылым және жоғары білім министрлігінің Ғылым және жоғары білім сапасын қ</w:t>
      </w:r>
      <w:r w:rsidRPr="001C5E70">
        <w:t>амтамасыз ету комитеті ұсынған басылымдарда 3 жарияланым, халықаралық конференциялар жинақтарында 4 тезис жарияланды. Қазақстан Республикасының авторлық құқық объектісіне құқықтарды мемлекеттік тіркеу туралы екі куәлік, практикалық денсаулық сақтау ұйымдар</w:t>
      </w:r>
      <w:r w:rsidRPr="001C5E70">
        <w:t>ының қызметіне жаңа технологияны (инновацияны) енгізудің 5 актісі алынды, оқу құралы шығарылды.</w:t>
      </w:r>
    </w:p>
    <w:p w14:paraId="7B3079DF" w14:textId="77777777" w:rsidR="00B63B33" w:rsidRPr="001C5E70" w:rsidRDefault="00B63B33">
      <w:pPr>
        <w:spacing w:after="0"/>
        <w:ind w:firstLine="708"/>
        <w:jc w:val="both"/>
      </w:pPr>
    </w:p>
    <w:p w14:paraId="7B3079E0" w14:textId="77777777" w:rsidR="00B63B33" w:rsidRPr="001C5E70" w:rsidRDefault="001C5E70">
      <w:pPr>
        <w:spacing w:after="0"/>
        <w:ind w:firstLine="708"/>
        <w:rPr>
          <w:b/>
        </w:rPr>
      </w:pPr>
      <w:r w:rsidRPr="001C5E70">
        <w:rPr>
          <w:b/>
        </w:rPr>
        <w:t>Жүргізілген зерттеу нəтижесінде келесі қорытындылар жасалды:</w:t>
      </w:r>
    </w:p>
    <w:p w14:paraId="7B3079E1" w14:textId="77777777" w:rsidR="00B63B33" w:rsidRPr="001C5E70" w:rsidRDefault="001C5E70">
      <w:pPr>
        <w:spacing w:after="0"/>
        <w:jc w:val="both"/>
      </w:pPr>
      <w:r w:rsidRPr="001C5E70">
        <w:t>1. Ұзақ өмір сүретіндер тобында анықталды: 56,5%-ында нормохромды анемия (Hb 110,3 ± 9,4 СІ [103,0</w:t>
      </w:r>
      <w:r w:rsidRPr="001C5E70">
        <w:t>–120,0] г/л), 60%-ында ашқарындағы гипогликемия (4,6 ± 1,3 СІ [4,0–4,8] ммоль/л), 85%-ында Д дәруменінің айқын тапшылығы (9,6 СІ [5,8–15,4] нмоль/л), 32,6%-ында гиперхолестеринемия (4,85 СІ [3,88–5,64] ммоль/л), сондай-ақ бүйрек функциясының төмендеуі (СКФ</w:t>
      </w:r>
      <w:r w:rsidRPr="001C5E70">
        <w:t xml:space="preserve"> 73 СІ [55–80] мл/мин/1,73 м²), бақылау тобымен салыстырғанда 94,77 ± 15,67 СІ [90,31–99,23] мл/мин/1,73 м². Креатининнің бірлікке артуы анемия қаупін сенімді түрде жоғарылатты (OR=1,105; 95% СІ [1–1,221]). Липидтік профильдің статистикалық тұрғыдан мәнді </w:t>
      </w:r>
      <w:r w:rsidRPr="001C5E70">
        <w:t>айырмашылықтары қалыпты ақуыз деңгейі бар және ақуыз тапшылығы бар пациенттерде анықталды. Ақуыз деңгейі қалыпты топта жалпы ХС, ЖТЛП және ТТЛП көрсеткіштері ақуыз тапшылығы бар топқа қарағанда жоғары болды (р=0,001; р=0,023; р=0,013 сәйкесінше).</w:t>
      </w:r>
    </w:p>
    <w:p w14:paraId="7B3079E2" w14:textId="77777777" w:rsidR="00B63B33" w:rsidRPr="001C5E70" w:rsidRDefault="001C5E70">
      <w:pPr>
        <w:spacing w:after="0"/>
        <w:jc w:val="both"/>
      </w:pPr>
      <w:sdt>
        <w:sdtPr>
          <w:tag w:val="goog_rdk_0"/>
          <w:id w:val="513988726"/>
        </w:sdtPr>
        <w:sdtEndPr/>
        <w:sdtContent>
          <w:r w:rsidRPr="001C5E70">
            <w:rPr>
              <w:rFonts w:ascii="Gungsuh" w:eastAsia="Gungsuh" w:hAnsi="Gungsuh" w:cs="Gungsuh"/>
            </w:rPr>
            <w:t>2. Ұзақ ө</w:t>
          </w:r>
          <w:r w:rsidRPr="001C5E70">
            <w:rPr>
              <w:rFonts w:ascii="Gungsuh" w:eastAsia="Gungsuh" w:hAnsi="Gungsuh" w:cs="Gungsuh"/>
            </w:rPr>
            <w:t>мір сүретіндер тобындағы гериатриялық бағалау респонденттердің 65,2%-ында астения, 45,7%-ында саркопения басым екенін, сондай-ақ барлық ұзақ өмір сүретіндерде функционалдық тәуелділік пен толық күтім қажеттілігін көрсетті. Бұл деректер бақылау тобының нәти</w:t>
          </w:r>
          <w:r w:rsidRPr="001C5E70">
            <w:rPr>
              <w:rFonts w:ascii="Gungsuh" w:eastAsia="Gungsuh" w:hAnsi="Gungsuh" w:cs="Gungsuh"/>
            </w:rPr>
            <w:t>желерімен айқын қарама-қайшы болды (р≤0,001). Алынған нәтижелер ұзақ өмір сүретіндер тобында ағзаның метаболикалық және функционалдық белсенділігінің төмендегенін дәлелдейді.</w:t>
          </w:r>
        </w:sdtContent>
      </w:sdt>
    </w:p>
    <w:p w14:paraId="7B3079E3" w14:textId="77777777" w:rsidR="00B63B33" w:rsidRPr="001C5E70" w:rsidRDefault="001C5E70">
      <w:pPr>
        <w:spacing w:after="0"/>
        <w:jc w:val="both"/>
      </w:pPr>
      <w:r w:rsidRPr="001C5E70">
        <w:t>3. Ұзақ өмір сүретіндерде ішек микробиотасының альфа-әртүрлілігі бақылау тобыме</w:t>
      </w:r>
      <w:r w:rsidRPr="001C5E70">
        <w:t xml:space="preserve">н салыстырғанда Шеннон индексі бойынша (p=1,19E-07) және </w:t>
      </w:r>
      <w:r w:rsidRPr="001C5E70">
        <w:lastRenderedPageBreak/>
        <w:t>Симпсон индексі бойынша (p=1,88E-07) едәуір жоғары болды. Бұл микробтық қауымдастықтың түрлік байлығы мен доминанттылығының жалпы артуын көрсетеді. Негізгі координаттар талдауы (PCoA) топтар арасында</w:t>
      </w:r>
      <w:r w:rsidRPr="001C5E70">
        <w:t>ғы микробиота таксономиялық құрамында сенімді айырмашылықтарды анықтады (ANOSIM, R=0,37, p=0,0001), бұл EnvFit тестімен де расталды (p&lt;0,01). Мұнда Bacteroides, Alistipes, Escherichia және Clostridium туыстары ұзақ өмір сүретіндер кластерімен, ал Faecaliba</w:t>
      </w:r>
      <w:r w:rsidRPr="001C5E70">
        <w:t>cterium, Roseburia, Dorea, Blautia туыстары бақылау тобымен ассоциацияланды.</w:t>
      </w:r>
    </w:p>
    <w:p w14:paraId="7B3079E4" w14:textId="77777777" w:rsidR="00B63B33" w:rsidRPr="001C5E70" w:rsidRDefault="001C5E70">
      <w:pPr>
        <w:spacing w:after="0"/>
        <w:jc w:val="both"/>
      </w:pPr>
      <w:r w:rsidRPr="001C5E70">
        <w:t>Функционалдық метагеномдық талдау ұзақ өмір сүретіндерде аминқышқылдары мен азотты негіздердің биосинтез жолдарының төмендегенін, сонымен қатар май қышқылдарының метаболизм жолдар</w:t>
      </w:r>
      <w:r w:rsidRPr="001C5E70">
        <w:t>ының артқанын көрсетті (ANOVA, p&lt;0,05). Бұл микробиотаның энергияның баламалы көздеріне бейімделуін білдіреді. Сондай-ақ, ұзақ өмір сүретіндерде биотин биосинтезінің гендік жолдарының айтарлықтай байытылуы байқалды (p&lt;0,05). Бұл айырмашылықтар қартаю жағда</w:t>
      </w:r>
      <w:r w:rsidRPr="001C5E70">
        <w:t>йында микробиотаның функционалдық ерекшеліктерін түсіндіруі мүмкін.</w:t>
      </w:r>
    </w:p>
    <w:p w14:paraId="7B3079E5" w14:textId="77777777" w:rsidR="00B63B33" w:rsidRPr="001C5E70" w:rsidRDefault="001C5E70">
      <w:pPr>
        <w:spacing w:after="0"/>
        <w:jc w:val="both"/>
      </w:pPr>
      <w:r w:rsidRPr="001C5E70">
        <w:t>4. Ұзақ өмір сүретіндерде бақылау тобымен салыстырғанда қабынуды қоздырушы цитокиндердің сенімді түрде жоғарылауы анықталды: IL-1α – 7,9 есе (р=0,00001), IL-6 – 11,8 есе (р=0,00001), IL-12</w:t>
      </w:r>
      <w:r w:rsidRPr="001C5E70">
        <w:t>(p70) – 4,6 есе (р=0,00001), IP-10 – 2,8 есе (р=0,00001), IFN-α2 – 2,6 есе (р=0,00001), IL-15 – 2 есе (р=0,00672), TNF-α – 1,2 есе (р=0,04906).Хемокиндер деңгейі де айтарлықтай артты: MIP-1α/CCL3 – 2,2 есе (р=0,00044), MIP-1β/CCL4 – 1,4 есе (р&lt;0,001), MCP-</w:t>
      </w:r>
      <w:r w:rsidRPr="001C5E70">
        <w:t xml:space="preserve">3/CCL7 – 2,9 есе (р=0,00333), MDC/CCL22 – 8,4 есе (р&lt;0,001).Қабынуға қарсы цитокиндердің де өсуі байқалды: IL-1RA – 1,3 есе (р=0,00044), IL-4 – 12,4 есе (р=0,00001), IL-5 – 4 есе (р=0,00001), FLT-3L – 13,9 есе (р=0,00001). Өсу факторларының деңгейі: EGF – </w:t>
      </w:r>
      <w:r w:rsidRPr="001C5E70">
        <w:t>6,1 есе (р=0,00001), GM-CSF – 3,7 есе (р&lt;0,001), VEGF-A – 18,3 есе (р=0,00001). Бұл нәтижелер қартаю жағдайында қабыну механизмдерінің белсенуімен қатар, қабынуға қарсы факторлардың да компенсаторлық өсуін көрсетеді.</w:t>
      </w:r>
    </w:p>
    <w:p w14:paraId="7B3079E6" w14:textId="77777777" w:rsidR="00B63B33" w:rsidRPr="001C5E70" w:rsidRDefault="001C5E70">
      <w:pPr>
        <w:spacing w:after="0"/>
        <w:jc w:val="both"/>
      </w:pPr>
      <w:sdt>
        <w:sdtPr>
          <w:tag w:val="goog_rdk_1"/>
          <w:id w:val="1529450411"/>
        </w:sdtPr>
        <w:sdtEndPr/>
        <w:sdtContent>
          <w:r w:rsidRPr="001C5E70">
            <w:rPr>
              <w:rFonts w:ascii="Gungsuh" w:eastAsia="Gungsuh" w:hAnsi="Gungsuh" w:cs="Gungsuh"/>
            </w:rPr>
            <w:t>5. Ұзақ өмір сүретіндер тобында бірқата</w:t>
          </w:r>
          <w:r w:rsidRPr="001C5E70">
            <w:rPr>
              <w:rFonts w:ascii="Gungsuh" w:eastAsia="Gungsuh" w:hAnsi="Gungsuh" w:cs="Gungsuh"/>
            </w:rPr>
            <w:t>р маңызды корреляциялық байланыстар анықталды. MIP-1β артериялық қысым көрсеткіштерімен (p=0,031, ρ=0,467), VEGF-A (p=0,0003, ρ=0,605) және IP-10 (p=0,038, ρ=0,406) оң корреляция көрсетті; VEGF-A мен EGF арасында (p=0,0003, ρ=0,594) сенімді байланыс байқал</w:t>
          </w:r>
          <w:r w:rsidRPr="001C5E70">
            <w:rPr>
              <w:rFonts w:ascii="Gungsuh" w:eastAsia="Gungsuh" w:hAnsi="Gungsuh" w:cs="Gungsuh"/>
            </w:rPr>
            <w:t>ды. IL-1α ішектік MDC (p=0,045, ρ=0,396) және IL-15 (p=0,029, ρ=0,414) көрсеткіштерімен оң корреляция көрсетсе, ішектік IL-6 пен GM-CSF арасында теріс байланыс анықталды (p=0,048, ρ=-0,422). MCP-1, TNF-α және TNF-β FRAIL шкаласымен оң байланыста болды (p=0</w:t>
          </w:r>
          <w:r w:rsidRPr="001C5E70">
            <w:rPr>
              <w:rFonts w:ascii="Gungsuh" w:eastAsia="Gungsuh" w:hAnsi="Gungsuh" w:cs="Gungsuh"/>
            </w:rPr>
            <w:t>,018, ρ=0,347; p=0,049, ρ=0,292; p=0,006, ρ=0,402 сәйкесінше), ал IL-1RA (p=0,041, ρ=0,320), MIP-1α (p=0,045, ρ=0,297) және TNF-β (p=0,015, ρ=0,359) SARC-F шкаласымен оң корреляция көрсетті. Микробиота деңгейінде Escherichia P461-PWY, SALVADEHYPOX-PWY, PWY</w:t>
          </w:r>
          <w:r w:rsidRPr="001C5E70">
            <w:rPr>
              <w:rFonts w:ascii="Gungsuh" w:eastAsia="Gungsuh" w:hAnsi="Gungsuh" w:cs="Gungsuh"/>
            </w:rPr>
            <w:t>-6608 жолдарымен оң, ал PWY-7357 жолымен теріс байланыста болды; Dorea PWY-7357 жолымен оң, ал Fusicatenibacter PWY-7357, PWY-6151 және GLYCOGENSYNTH-PWY жолдарымен оң байланыста болды (p ≤ 0,05). TNF-α, IL-1α және GM-CSF аденозин мен гуанозин ыдырау жолда</w:t>
          </w:r>
          <w:r w:rsidRPr="001C5E70">
            <w:rPr>
              <w:rFonts w:ascii="Gungsuh" w:eastAsia="Gungsuh" w:hAnsi="Gungsuh" w:cs="Gungsuh"/>
            </w:rPr>
            <w:t>рымен оң (p=0,008, ρ=0,481), IL-1α L-</w:t>
          </w:r>
          <w:r w:rsidRPr="001C5E70">
            <w:rPr>
              <w:rFonts w:ascii="Gungsuh" w:eastAsia="Gungsuh" w:hAnsi="Gungsuh" w:cs="Gungsuh"/>
            </w:rPr>
            <w:lastRenderedPageBreak/>
            <w:t>валин синтезімен оң (p=0,028, ρ=0,424), GM-CSF S-аденозил-L-метионин қалпына келтіру жолымен теріс (p=0,043, ρ=-0,434), MDC GLYCOGENSYNTH-PWY жолымен оң (p=0,028, ρ=0,416), ал IL-15 S-аденозил-L-метионин синтезімен оң б</w:t>
          </w:r>
          <w:r w:rsidRPr="001C5E70">
            <w:rPr>
              <w:rFonts w:ascii="Gungsuh" w:eastAsia="Gungsuh" w:hAnsi="Gungsuh" w:cs="Gungsuh"/>
            </w:rPr>
            <w:t>айланыста болды (p=0,001, ρ=0,555). Сонымен бірге MCP-3 В5 дәруменінің синтезімен теріс байланыста болды (p=0,026, ρ=-0,42). Қосымша талдаулар Escherichia-ның FLT-3L, EGF, IL-4 және TNF-α-мен оң, Odoribacter-дің IL-15, IL-1α, IFNα2-мен оң және EGF-пен тері</w:t>
          </w:r>
          <w:r w:rsidRPr="001C5E70">
            <w:rPr>
              <w:rFonts w:ascii="Gungsuh" w:eastAsia="Gungsuh" w:hAnsi="Gungsuh" w:cs="Gungsuh"/>
            </w:rPr>
            <w:t>с, ал Parabacteroides-тің IFNα2-мен оң және IL-15 пен MIP-1β-мен теріс байланысын көрсетті. Alistipes IL-4-пен, Bacteroides IL-15-пен, ал MIP-1β IL-1RA-мен оң байланыста болды. Сонымен қатар, Odoribacter, Eubacterium, Oscillibacter, Bacteroides және Alisti</w:t>
          </w:r>
          <w:r w:rsidRPr="001C5E70">
            <w:rPr>
              <w:rFonts w:ascii="Gungsuh" w:eastAsia="Gungsuh" w:hAnsi="Gungsuh" w:cs="Gungsuh"/>
            </w:rPr>
            <w:t>pes ішектік цитокиндермен оң, ал Clostridium мен Ruthenibacterium IL-15, VEGF-A, MDC, IL-6, IL-4, TNF-α, IP-10 және MCP-3 көрсеткіштерімен теріс корреляция көрсетті (p ≤ 0,001). Бұл деректер иммундық жүйе, ішек микробиотасы және метаболикалық жолдар арасын</w:t>
          </w:r>
          <w:r w:rsidRPr="001C5E70">
            <w:rPr>
              <w:rFonts w:ascii="Gungsuh" w:eastAsia="Gungsuh" w:hAnsi="Gungsuh" w:cs="Gungsuh"/>
            </w:rPr>
            <w:t>дағы тығыз әрі көпқырлы өзара байланыстың бар екендігін айғақтайды.</w:t>
          </w:r>
        </w:sdtContent>
      </w:sdt>
    </w:p>
    <w:p w14:paraId="7B3079E7" w14:textId="77777777" w:rsidR="00B63B33" w:rsidRPr="001C5E70" w:rsidRDefault="001C5E70">
      <w:pPr>
        <w:spacing w:after="0"/>
        <w:jc w:val="both"/>
      </w:pPr>
      <w:r w:rsidRPr="001C5E70">
        <w:t>6. Зерттеу нәтижелері негізінде қарт адамдардың жағдайын бақылау алгоритмі әзірленді. Метаболикалық және функционалдық бұзылыстардың белгілері бар қарттарда кеңейтілген гериатриялық скри</w:t>
      </w:r>
      <w:r w:rsidRPr="001C5E70">
        <w:t>нингті ішек микробиотасын, метаболиттерді және иммуномаркерлерді талдаумен толықтыру орынды болып табылады. Салауатты ұзақ өмір сүруге қатысты практикалық ұсыныстарды іске асыру қарт тұрғындардың өмір сапасын арттыруға ықпал етеді.</w:t>
      </w:r>
    </w:p>
    <w:p w14:paraId="7B3079E8" w14:textId="77777777" w:rsidR="00B63B33" w:rsidRPr="001C5E70" w:rsidRDefault="00B63B33">
      <w:pPr>
        <w:spacing w:after="0"/>
        <w:jc w:val="both"/>
      </w:pPr>
      <w:bookmarkStart w:id="1" w:name="_heading=h.izbeenw7ilgb" w:colFirst="0" w:colLast="0"/>
      <w:bookmarkEnd w:id="1"/>
    </w:p>
    <w:p w14:paraId="7B3079E9" w14:textId="77777777" w:rsidR="00B63B33" w:rsidRPr="001C5E70" w:rsidRDefault="001C5E70">
      <w:pPr>
        <w:spacing w:after="0"/>
        <w:ind w:firstLine="708"/>
        <w:rPr>
          <w:b/>
        </w:rPr>
      </w:pPr>
      <w:r w:rsidRPr="001C5E70">
        <w:rPr>
          <w:b/>
        </w:rPr>
        <w:t>Практикалық ұсыныстар:</w:t>
      </w:r>
    </w:p>
    <w:p w14:paraId="7B3079EA" w14:textId="77777777" w:rsidR="00B63B33" w:rsidRPr="001C5E70" w:rsidRDefault="001C5E70">
      <w:pPr>
        <w:spacing w:after="0"/>
        <w:jc w:val="both"/>
      </w:pPr>
      <w:r w:rsidRPr="001C5E70">
        <w:t>1. Қарт пациенттерге FRAIL, SARC-F, IADL және Barthel шкалаларын қолдана отырып гериатриялық скрининг жүргізу және нутритивтік мәртебесін бағалау ұсынылады.</w:t>
      </w:r>
    </w:p>
    <w:p w14:paraId="7B3079EB" w14:textId="77777777" w:rsidR="00B63B33" w:rsidRPr="001C5E70" w:rsidRDefault="001C5E70">
      <w:pPr>
        <w:spacing w:after="0"/>
        <w:jc w:val="both"/>
      </w:pPr>
      <w:r w:rsidRPr="001C5E70">
        <w:t xml:space="preserve">2. Метаболикалық теңгерімсіздік белгілері бар қарт адамдардың кеңейтілген гериатриялық скринингіне </w:t>
      </w:r>
      <w:r w:rsidRPr="001C5E70">
        <w:t>ішек микробиомын (оның ішінде метаболиттерді) талдауды енгізу ұсынылады.</w:t>
      </w:r>
    </w:p>
    <w:p w14:paraId="7B3079EC" w14:textId="77777777" w:rsidR="00B63B33" w:rsidRPr="001C5E70" w:rsidRDefault="001C5E70">
      <w:pPr>
        <w:spacing w:after="0"/>
        <w:jc w:val="both"/>
      </w:pPr>
      <w:r w:rsidRPr="001C5E70">
        <w:t>3. Функционалдық қабілеттері төмендеу белгілері бар қарт адамдардың кеңейтілген гериатриялық скринингіне иммуномаркерлерді – цитокиндерді, хемокиндерді және өсу факторларын талдауды енгізу ұсынылады.</w:t>
      </w:r>
    </w:p>
    <w:p w14:paraId="7B3079ED" w14:textId="77777777" w:rsidR="00B63B33" w:rsidRPr="001C5E70" w:rsidRDefault="001C5E70">
      <w:pPr>
        <w:spacing w:after="0"/>
        <w:jc w:val="both"/>
      </w:pPr>
      <w:r w:rsidRPr="001C5E70">
        <w:t>4. Қарт адамдардың жағдайын бағалау және мониторинг жүрг</w:t>
      </w:r>
      <w:r w:rsidRPr="001C5E70">
        <w:t>ізу үшін әзірленген алгоритм негізінде микробиотикалық, иммундық, метаболикалық, нутритивтік және функционалдық параметрлерді ескере отырып, тәуекелді стратификациялау ұсынылады. Бұл бақылау мен араласу тактикасын жекешелендіруге және саралауға мүмкінді</w:t>
      </w:r>
      <w:r w:rsidRPr="001C5E70">
        <w:t>к б</w:t>
      </w:r>
      <w:r w:rsidRPr="001C5E70">
        <w:t>ереді.</w:t>
      </w:r>
    </w:p>
    <w:sectPr w:rsidR="00B63B33" w:rsidRPr="001C5E70">
      <w:pgSz w:w="11906" w:h="16838"/>
      <w:pgMar w:top="1134" w:right="851"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ungsuh">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B33"/>
    <w:rsid w:val="001C5E70"/>
    <w:rsid w:val="00B63B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079A0"/>
  <w15:docId w15:val="{763177BE-89C0-4416-83B1-602A8D5CC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kk" w:eastAsia="ru-RU"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360" w:after="80"/>
      <w:outlineLvl w:val="0"/>
    </w:pPr>
    <w:rPr>
      <w:rFonts w:ascii="Calibri" w:eastAsia="Calibri" w:hAnsi="Calibri" w:cs="Calibri"/>
      <w:color w:val="2E75B5"/>
      <w:sz w:val="40"/>
      <w:szCs w:val="40"/>
    </w:rPr>
  </w:style>
  <w:style w:type="paragraph" w:styleId="2">
    <w:name w:val="heading 2"/>
    <w:basedOn w:val="a"/>
    <w:next w:val="a"/>
    <w:pPr>
      <w:keepNext/>
      <w:keepLines/>
      <w:spacing w:before="160" w:after="80"/>
      <w:outlineLvl w:val="1"/>
    </w:pPr>
    <w:rPr>
      <w:rFonts w:ascii="Calibri" w:eastAsia="Calibri" w:hAnsi="Calibri" w:cs="Calibri"/>
      <w:color w:val="2E75B5"/>
      <w:sz w:val="32"/>
      <w:szCs w:val="32"/>
    </w:rPr>
  </w:style>
  <w:style w:type="paragraph" w:styleId="3">
    <w:name w:val="heading 3"/>
    <w:basedOn w:val="a"/>
    <w:next w:val="a"/>
    <w:pPr>
      <w:keepNext/>
      <w:keepLines/>
      <w:spacing w:before="160" w:after="80"/>
      <w:outlineLvl w:val="2"/>
    </w:pPr>
    <w:rPr>
      <w:rFonts w:ascii="Calibri" w:eastAsia="Calibri" w:hAnsi="Calibri" w:cs="Calibri"/>
      <w:color w:val="2E75B5"/>
    </w:rPr>
  </w:style>
  <w:style w:type="paragraph" w:styleId="4">
    <w:name w:val="heading 4"/>
    <w:basedOn w:val="a"/>
    <w:next w:val="a"/>
    <w:pPr>
      <w:keepNext/>
      <w:keepLines/>
      <w:spacing w:before="80" w:after="40"/>
      <w:outlineLvl w:val="3"/>
    </w:pPr>
    <w:rPr>
      <w:rFonts w:ascii="Calibri" w:eastAsia="Calibri" w:hAnsi="Calibri" w:cs="Calibri"/>
      <w:i/>
      <w:color w:val="2E75B5"/>
    </w:rPr>
  </w:style>
  <w:style w:type="paragraph" w:styleId="5">
    <w:name w:val="heading 5"/>
    <w:basedOn w:val="a"/>
    <w:next w:val="a"/>
    <w:pPr>
      <w:keepNext/>
      <w:keepLines/>
      <w:spacing w:before="80" w:after="40"/>
      <w:outlineLvl w:val="4"/>
    </w:pPr>
    <w:rPr>
      <w:rFonts w:ascii="Calibri" w:eastAsia="Calibri" w:hAnsi="Calibri" w:cs="Calibri"/>
      <w:color w:val="2E75B5"/>
    </w:rPr>
  </w:style>
  <w:style w:type="paragraph" w:styleId="6">
    <w:name w:val="heading 6"/>
    <w:basedOn w:val="a"/>
    <w:next w:val="a"/>
    <w:pPr>
      <w:keepNext/>
      <w:keepLines/>
      <w:spacing w:before="40" w:after="0"/>
      <w:outlineLvl w:val="5"/>
    </w:pPr>
    <w:rPr>
      <w:rFonts w:ascii="Calibri" w:eastAsia="Calibri" w:hAnsi="Calibri" w:cs="Calibri"/>
      <w:i/>
      <w:color w:val="595959"/>
    </w:rPr>
  </w:style>
  <w:style w:type="paragraph" w:styleId="7">
    <w:name w:val="heading 7"/>
    <w:link w:val="70"/>
    <w:uiPriority w:val="9"/>
    <w:semiHidden/>
    <w:unhideWhenUsed/>
    <w:qFormat/>
    <w:rsid w:val="00186997"/>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link w:val="80"/>
    <w:uiPriority w:val="9"/>
    <w:semiHidden/>
    <w:unhideWhenUsed/>
    <w:qFormat/>
    <w:rsid w:val="00186997"/>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link w:val="90"/>
    <w:uiPriority w:val="9"/>
    <w:semiHidden/>
    <w:unhideWhenUsed/>
    <w:qFormat/>
    <w:rsid w:val="00186997"/>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spacing w:after="80"/>
    </w:pPr>
    <w:rPr>
      <w:rFonts w:ascii="Calibri" w:eastAsia="Calibri" w:hAnsi="Calibri" w:cs="Calibri"/>
      <w:sz w:val="56"/>
      <w:szCs w:val="56"/>
    </w:rPr>
  </w:style>
  <w:style w:type="character" w:customStyle="1" w:styleId="10">
    <w:name w:val="Заголовок 1 Знак"/>
    <w:basedOn w:val="a0"/>
    <w:uiPriority w:val="9"/>
    <w:rsid w:val="00186997"/>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uiPriority w:val="9"/>
    <w:semiHidden/>
    <w:rsid w:val="00186997"/>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uiPriority w:val="9"/>
    <w:semiHidden/>
    <w:rsid w:val="00186997"/>
    <w:rPr>
      <w:rFonts w:eastAsiaTheme="majorEastAsia" w:cstheme="majorBidi"/>
      <w:color w:val="2E74B5" w:themeColor="accent1" w:themeShade="BF"/>
      <w:sz w:val="28"/>
      <w:szCs w:val="28"/>
    </w:rPr>
  </w:style>
  <w:style w:type="character" w:customStyle="1" w:styleId="40">
    <w:name w:val="Заголовок 4 Знак"/>
    <w:basedOn w:val="a0"/>
    <w:uiPriority w:val="9"/>
    <w:semiHidden/>
    <w:rsid w:val="00186997"/>
    <w:rPr>
      <w:rFonts w:eastAsiaTheme="majorEastAsia" w:cstheme="majorBidi"/>
      <w:i/>
      <w:iCs/>
      <w:color w:val="2E74B5" w:themeColor="accent1" w:themeShade="BF"/>
      <w:sz w:val="28"/>
    </w:rPr>
  </w:style>
  <w:style w:type="character" w:customStyle="1" w:styleId="50">
    <w:name w:val="Заголовок 5 Знак"/>
    <w:basedOn w:val="a0"/>
    <w:uiPriority w:val="9"/>
    <w:semiHidden/>
    <w:rsid w:val="00186997"/>
    <w:rPr>
      <w:rFonts w:eastAsiaTheme="majorEastAsia" w:cstheme="majorBidi"/>
      <w:color w:val="2E74B5" w:themeColor="accent1" w:themeShade="BF"/>
      <w:sz w:val="28"/>
    </w:rPr>
  </w:style>
  <w:style w:type="character" w:customStyle="1" w:styleId="60">
    <w:name w:val="Заголовок 6 Знак"/>
    <w:basedOn w:val="a0"/>
    <w:uiPriority w:val="9"/>
    <w:semiHidden/>
    <w:rsid w:val="00186997"/>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186997"/>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186997"/>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186997"/>
    <w:rPr>
      <w:rFonts w:eastAsiaTheme="majorEastAsia" w:cstheme="majorBidi"/>
      <w:color w:val="272727" w:themeColor="text1" w:themeTint="D8"/>
      <w:sz w:val="28"/>
    </w:rPr>
  </w:style>
  <w:style w:type="character" w:customStyle="1" w:styleId="a4">
    <w:name w:val="Заголовок Знак"/>
    <w:basedOn w:val="a0"/>
    <w:uiPriority w:val="10"/>
    <w:rsid w:val="00186997"/>
    <w:rPr>
      <w:rFonts w:asciiTheme="majorHAnsi" w:eastAsiaTheme="majorEastAsia" w:hAnsiTheme="majorHAnsi" w:cstheme="majorBidi"/>
      <w:spacing w:val="-10"/>
      <w:kern w:val="28"/>
      <w:sz w:val="56"/>
      <w:szCs w:val="56"/>
    </w:rPr>
  </w:style>
  <w:style w:type="character" w:customStyle="1" w:styleId="a5">
    <w:name w:val="Подзаголовок Знак"/>
    <w:basedOn w:val="a0"/>
    <w:uiPriority w:val="11"/>
    <w:rsid w:val="00186997"/>
    <w:rPr>
      <w:rFonts w:eastAsiaTheme="majorEastAsia" w:cstheme="majorBidi"/>
      <w:color w:val="595959" w:themeColor="text1" w:themeTint="A6"/>
      <w:spacing w:val="15"/>
      <w:sz w:val="28"/>
      <w:szCs w:val="28"/>
    </w:rPr>
  </w:style>
  <w:style w:type="paragraph" w:styleId="21">
    <w:name w:val="Quote"/>
    <w:link w:val="22"/>
    <w:uiPriority w:val="29"/>
    <w:qFormat/>
    <w:rsid w:val="00186997"/>
    <w:pPr>
      <w:spacing w:before="160"/>
      <w:jc w:val="center"/>
    </w:pPr>
    <w:rPr>
      <w:i/>
      <w:iCs/>
      <w:color w:val="404040" w:themeColor="text1" w:themeTint="BF"/>
    </w:rPr>
  </w:style>
  <w:style w:type="character" w:customStyle="1" w:styleId="22">
    <w:name w:val="Цитата 2 Знак"/>
    <w:basedOn w:val="a0"/>
    <w:link w:val="21"/>
    <w:uiPriority w:val="29"/>
    <w:rsid w:val="00186997"/>
    <w:rPr>
      <w:rFonts w:ascii="Times New Roman" w:hAnsi="Times New Roman"/>
      <w:i/>
      <w:iCs/>
      <w:color w:val="404040" w:themeColor="text1" w:themeTint="BF"/>
      <w:sz w:val="28"/>
    </w:rPr>
  </w:style>
  <w:style w:type="paragraph" w:styleId="a6">
    <w:name w:val="List Paragraph"/>
    <w:uiPriority w:val="34"/>
    <w:qFormat/>
    <w:rsid w:val="00186997"/>
    <w:pPr>
      <w:ind w:left="720"/>
      <w:contextualSpacing/>
    </w:pPr>
  </w:style>
  <w:style w:type="character" w:styleId="a7">
    <w:name w:val="Intense Emphasis"/>
    <w:basedOn w:val="a0"/>
    <w:uiPriority w:val="21"/>
    <w:qFormat/>
    <w:rsid w:val="00186997"/>
    <w:rPr>
      <w:i/>
      <w:iCs/>
      <w:color w:val="2E74B5" w:themeColor="accent1" w:themeShade="BF"/>
    </w:rPr>
  </w:style>
  <w:style w:type="paragraph" w:styleId="a8">
    <w:name w:val="Intense Quote"/>
    <w:link w:val="a9"/>
    <w:uiPriority w:val="30"/>
    <w:qFormat/>
    <w:rsid w:val="0018699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9">
    <w:name w:val="Выделенная цитата Знак"/>
    <w:basedOn w:val="a0"/>
    <w:link w:val="a8"/>
    <w:uiPriority w:val="30"/>
    <w:rsid w:val="00186997"/>
    <w:rPr>
      <w:rFonts w:ascii="Times New Roman" w:hAnsi="Times New Roman"/>
      <w:i/>
      <w:iCs/>
      <w:color w:val="2E74B5" w:themeColor="accent1" w:themeShade="BF"/>
      <w:sz w:val="28"/>
    </w:rPr>
  </w:style>
  <w:style w:type="character" w:styleId="aa">
    <w:name w:val="Intense Reference"/>
    <w:basedOn w:val="a0"/>
    <w:uiPriority w:val="32"/>
    <w:qFormat/>
    <w:rsid w:val="00186997"/>
    <w:rPr>
      <w:b/>
      <w:bCs/>
      <w:smallCaps/>
      <w:color w:val="2E74B5" w:themeColor="accent1" w:themeShade="BF"/>
      <w:spacing w:val="5"/>
    </w:rPr>
  </w:style>
  <w:style w:type="paragraph" w:styleId="ab">
    <w:name w:val="Subtitle"/>
    <w:basedOn w:val="a"/>
    <w:next w:val="a"/>
    <w:rPr>
      <w:rFonts w:ascii="Calibri" w:eastAsia="Calibri" w:hAnsi="Calibri" w:cs="Calibri"/>
      <w:color w:val="59595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KVMIgskJkWHUFgQtIv0UbaEBOg==">CgMxLjAaFAoBMBIPCg0IB0IJEgdHdW5nc3VoGhQKATESDwoNCAdCCRIHR3VuZ3N1aDIOaC5pemJlZW53N2lsZ2I4AHIhMWdzNHJRb25CWkNpU2tlcTRJSXA0Z291aFlJUXU2QlVj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2209</Words>
  <Characters>12596</Characters>
  <Application>Microsoft Office Word</Application>
  <DocSecurity>0</DocSecurity>
  <Lines>104</Lines>
  <Paragraphs>29</Paragraphs>
  <ScaleCrop>false</ScaleCrop>
  <Company>KGMU</Company>
  <LinksUpToDate>false</LinksUpToDate>
  <CharactersWithSpaces>14776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ovchinnikov Ivan</dc:creator>
  <cp:lastModifiedBy>Стабаева Лейла</cp:lastModifiedBy>
  <cp:revision>2</cp:revision>
  <dcterms:created xsi:type="dcterms:W3CDTF">2025-06-14T16:45:00Z</dcterms:created>
  <dcterms:modified xsi:type="dcterms:W3CDTF">2025-10-13T05:28:00Z</dcterms:modified>
</cp:coreProperties>
</file>